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5BE5">
        <w:rPr>
          <w:b/>
          <w:sz w:val="28"/>
          <w:szCs w:val="28"/>
        </w:rPr>
        <w:t>Общие требования</w:t>
      </w:r>
    </w:p>
    <w:p w:rsidR="003B484E" w:rsidRPr="000D5BE5" w:rsidRDefault="003B484E" w:rsidP="003B484E"/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Соответствие следующим требованиям, предъявляемым к субъектам малого и среднего предпринимательства, на момент подачи заявления на предоставление финансовой поддержки в рамках Подпрограммы:</w:t>
      </w:r>
    </w:p>
    <w:p w:rsidR="003B484E" w:rsidRPr="00AB060B" w:rsidRDefault="003B484E" w:rsidP="003B48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5BE5">
        <w:rPr>
          <w:sz w:val="28"/>
          <w:szCs w:val="28"/>
        </w:rPr>
        <w:t xml:space="preserve">а) требованиям и условиям предоставления финансовой поддержки, установленным Федеральным законом от 24 июля 2007 года № 209-ФЗ               </w:t>
      </w:r>
      <w:proofErr w:type="gramStart"/>
      <w:r w:rsidRPr="000D5BE5">
        <w:rPr>
          <w:sz w:val="28"/>
          <w:szCs w:val="28"/>
        </w:rPr>
        <w:t xml:space="preserve">   «</w:t>
      </w:r>
      <w:proofErr w:type="gramEnd"/>
      <w:r w:rsidRPr="000D5BE5">
        <w:rPr>
          <w:sz w:val="28"/>
          <w:szCs w:val="28"/>
        </w:rPr>
        <w:t xml:space="preserve">О развитии малого и среднего предпринимательства в Российской Федерации» и настоящей Подпрограммой; </w:t>
      </w:r>
      <w:r w:rsidRPr="00AB060B">
        <w:rPr>
          <w:b/>
          <w:sz w:val="28"/>
          <w:szCs w:val="28"/>
        </w:rPr>
        <w:t xml:space="preserve">(СМП должен </w:t>
      </w:r>
      <w:r>
        <w:rPr>
          <w:b/>
          <w:sz w:val="28"/>
          <w:szCs w:val="28"/>
        </w:rPr>
        <w:t xml:space="preserve">обязательно </w:t>
      </w:r>
      <w:r w:rsidRPr="00AB060B">
        <w:rPr>
          <w:b/>
          <w:sz w:val="28"/>
          <w:szCs w:val="28"/>
        </w:rPr>
        <w:t xml:space="preserve">состоять в едином реестре СМП); </w:t>
      </w:r>
    </w:p>
    <w:p w:rsidR="003B484E" w:rsidRPr="000D5BE5" w:rsidRDefault="003B484E" w:rsidP="003B48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5BE5">
        <w:rPr>
          <w:sz w:val="28"/>
          <w:szCs w:val="28"/>
        </w:rPr>
        <w:t xml:space="preserve">б) осуществление видов экономической деятельности, согласно подпункту 4.1.8.1 пункта 4.1.8 настоящей Подпрограммы </w:t>
      </w:r>
      <w:r w:rsidRPr="000D5BE5">
        <w:rPr>
          <w:b/>
          <w:sz w:val="28"/>
          <w:szCs w:val="28"/>
        </w:rPr>
        <w:t>(</w:t>
      </w:r>
      <w:proofErr w:type="spellStart"/>
      <w:r w:rsidRPr="000D5BE5">
        <w:rPr>
          <w:b/>
          <w:sz w:val="28"/>
          <w:szCs w:val="28"/>
        </w:rPr>
        <w:t>см.ОКВЭД</w:t>
      </w:r>
      <w:proofErr w:type="spellEnd"/>
      <w:r w:rsidRPr="000D5BE5">
        <w:rPr>
          <w:b/>
          <w:sz w:val="28"/>
          <w:szCs w:val="28"/>
        </w:rPr>
        <w:t>)</w:t>
      </w:r>
    </w:p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в) принятие обязательства по созданию и (или) сохранению общего количества рабочих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 </w:t>
      </w:r>
    </w:p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3B484E" w:rsidRPr="000D5BE5" w:rsidRDefault="003B484E" w:rsidP="003B484E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д)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B484E" w:rsidRPr="000D5BE5" w:rsidRDefault="003B484E" w:rsidP="003B484E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е)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деятельности в качестве индивидуального предпринимателя;</w:t>
      </w:r>
    </w:p>
    <w:p w:rsidR="003B484E" w:rsidRPr="000D5BE5" w:rsidRDefault="003B484E" w:rsidP="003B484E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ж)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484E" w:rsidRPr="000D5BE5" w:rsidRDefault="003B484E" w:rsidP="003B484E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з) получатели субсидий не являются получателями средств из соответствующего бюджета бюджетной системы Российской Федерации в </w:t>
      </w:r>
      <w:r w:rsidRPr="000D5BE5">
        <w:rPr>
          <w:sz w:val="28"/>
          <w:szCs w:val="28"/>
        </w:rPr>
        <w:lastRenderedPageBreak/>
        <w:t xml:space="preserve">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(субсидии).  </w:t>
      </w:r>
    </w:p>
    <w:p w:rsidR="003B484E" w:rsidRPr="000D5BE5" w:rsidRDefault="003B484E" w:rsidP="003B484E"/>
    <w:p w:rsidR="003B484E" w:rsidRPr="000D5BE5" w:rsidRDefault="003B484E" w:rsidP="003B484E">
      <w:pPr>
        <w:ind w:firstLine="709"/>
        <w:jc w:val="both"/>
        <w:rPr>
          <w:b/>
          <w:sz w:val="40"/>
          <w:szCs w:val="40"/>
        </w:rPr>
      </w:pPr>
      <w:r w:rsidRPr="000D5BE5">
        <w:rPr>
          <w:b/>
          <w:sz w:val="28"/>
          <w:szCs w:val="28"/>
        </w:rPr>
        <w:t xml:space="preserve">Условия и требования для получения субсидии по договорам </w:t>
      </w:r>
      <w:r w:rsidRPr="003B484E">
        <w:rPr>
          <w:b/>
          <w:color w:val="000000"/>
          <w:sz w:val="28"/>
          <w:szCs w:val="28"/>
        </w:rPr>
        <w:t>социального предпринимательства</w:t>
      </w:r>
    </w:p>
    <w:p w:rsidR="003B484E" w:rsidRPr="000D5BE5" w:rsidRDefault="003B484E" w:rsidP="003B484E"/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4.4.1 Субъекты малого и среднего предпринимательства - получатели финансовой поддержки представляют в Администрацию по формам, установленным в договоре о предоставлении субсидии:</w:t>
      </w:r>
    </w:p>
    <w:p w:rsidR="003B484E" w:rsidRPr="000D5BE5" w:rsidRDefault="003B484E" w:rsidP="003B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а) ежеквартальные отчеты о фактическом и целевом расходовании субсидии не позднее 10-го числа месяца, следующего за отчетным периодом;</w:t>
      </w:r>
    </w:p>
    <w:p w:rsidR="003B484E" w:rsidRDefault="003B484E" w:rsidP="003B484E">
      <w:pPr>
        <w:rPr>
          <w:sz w:val="28"/>
          <w:szCs w:val="28"/>
        </w:rPr>
      </w:pPr>
      <w:r w:rsidRPr="000D5BE5">
        <w:rPr>
          <w:sz w:val="28"/>
          <w:szCs w:val="28"/>
        </w:rPr>
        <w:t xml:space="preserve">           б) отчеты о достижении результата предоставления субсидии по итогам года не позднее 01 апреля года, следующего за отчетным</w:t>
      </w:r>
    </w:p>
    <w:p w:rsidR="003B484E" w:rsidRDefault="003B484E" w:rsidP="003B484E">
      <w:pPr>
        <w:rPr>
          <w:sz w:val="28"/>
          <w:szCs w:val="28"/>
        </w:rPr>
      </w:pP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При рассмотрении документов о предоставлении финансовой поддержки в целях финансового обеспечения части планируемых затрат субъектов </w:t>
      </w:r>
      <w:r w:rsidRPr="007921D8">
        <w:rPr>
          <w:b/>
          <w:color w:val="000000"/>
          <w:sz w:val="28"/>
          <w:szCs w:val="28"/>
        </w:rPr>
        <w:t>социального предпринимательства</w:t>
      </w:r>
      <w:r w:rsidRPr="007921D8">
        <w:rPr>
          <w:color w:val="000000"/>
          <w:sz w:val="28"/>
          <w:szCs w:val="28"/>
        </w:rPr>
        <w:t xml:space="preserve"> Комиссия руководствуется следующими критериями: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21D8">
        <w:rPr>
          <w:sz w:val="28"/>
          <w:szCs w:val="28"/>
        </w:rPr>
        <w:t>а) количество действующих рабочих мест;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21D8">
        <w:rPr>
          <w:sz w:val="28"/>
          <w:szCs w:val="28"/>
        </w:rPr>
        <w:t>б) количество вновь созданных рабочих мест при реализации бизнес-плана, в том числе из числа лиц, состоящих на учете в центре занятости населения по месту расположения субъекта малого или среднего предпринимательства;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в) количество работников, отнесенных к социально незащищенной группе граждан, категории которых перечислены в </w:t>
      </w:r>
      <w:hyperlink w:anchor="P4336" w:history="1">
        <w:r w:rsidRPr="007921D8">
          <w:rPr>
            <w:color w:val="000000"/>
            <w:sz w:val="28"/>
            <w:szCs w:val="28"/>
          </w:rPr>
          <w:t>подпункте «а»</w:t>
        </w:r>
        <w:r w:rsidRPr="007921D8">
          <w:rPr>
            <w:color w:val="000000"/>
            <w:sz w:val="28"/>
            <w:szCs w:val="28"/>
          </w:rPr>
          <w:br/>
          <w:t>пункта 4.6.2 настоящей По</w:t>
        </w:r>
      </w:hyperlink>
      <w:r w:rsidRPr="007921D8">
        <w:rPr>
          <w:color w:val="000000"/>
          <w:sz w:val="28"/>
          <w:szCs w:val="28"/>
        </w:rPr>
        <w:t>дпрограммы.</w:t>
      </w:r>
    </w:p>
    <w:p w:rsidR="007921D8" w:rsidRDefault="007921D8" w:rsidP="003B484E">
      <w:pPr>
        <w:rPr>
          <w:sz w:val="28"/>
          <w:szCs w:val="28"/>
        </w:rPr>
      </w:pPr>
      <w:bookmarkStart w:id="0" w:name="_GoBack"/>
      <w:bookmarkEnd w:id="0"/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4.6.1. Под субъектами </w:t>
      </w:r>
      <w:r w:rsidRPr="007921D8">
        <w:rPr>
          <w:b/>
          <w:color w:val="000000"/>
          <w:sz w:val="28"/>
          <w:szCs w:val="28"/>
        </w:rPr>
        <w:t>социального предпринимательства</w:t>
      </w:r>
      <w:r w:rsidRPr="007921D8">
        <w:rPr>
          <w:color w:val="000000"/>
          <w:sz w:val="28"/>
          <w:szCs w:val="28"/>
        </w:rPr>
        <w:t xml:space="preserve"> в рамках данного вида финансовой поддержки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на расширение его возможностей самостоятельно обеспечивать свои основные жизненные потребности или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bookmarkStart w:id="1" w:name="P4335"/>
      <w:bookmarkEnd w:id="1"/>
      <w:r w:rsidRPr="007921D8">
        <w:rPr>
          <w:color w:val="000000"/>
          <w:sz w:val="28"/>
          <w:szCs w:val="28"/>
        </w:rPr>
        <w:t xml:space="preserve">4.6.2. Субсидии предоставляются субъектам малого и среднего предпринимательства, осуществляющим виды деятельности, установленные </w:t>
      </w:r>
      <w:hyperlink w:anchor="P4174" w:history="1">
        <w:r w:rsidRPr="007921D8">
          <w:rPr>
            <w:color w:val="000000"/>
            <w:sz w:val="28"/>
            <w:szCs w:val="28"/>
          </w:rPr>
          <w:t>подпунктом «б» пункта 4.1.8.1</w:t>
        </w:r>
      </w:hyperlink>
      <w:r w:rsidRPr="007921D8">
        <w:rPr>
          <w:color w:val="000000"/>
          <w:sz w:val="28"/>
          <w:szCs w:val="28"/>
        </w:rPr>
        <w:t xml:space="preserve"> настоящей Подпрограммы, и обеспечивающим выполнение одного из следующих условий:</w:t>
      </w:r>
      <w:r w:rsidRPr="007921D8">
        <w:rPr>
          <w:b/>
          <w:sz w:val="28"/>
          <w:szCs w:val="28"/>
        </w:rPr>
        <w:t xml:space="preserve"> </w:t>
      </w:r>
      <w:r w:rsidRPr="000D5BE5">
        <w:rPr>
          <w:b/>
          <w:sz w:val="28"/>
          <w:szCs w:val="28"/>
        </w:rPr>
        <w:t>(</w:t>
      </w:r>
      <w:proofErr w:type="spellStart"/>
      <w:r w:rsidRPr="000D5BE5">
        <w:rPr>
          <w:b/>
          <w:sz w:val="28"/>
          <w:szCs w:val="28"/>
        </w:rPr>
        <w:t>см.ОКВЭД</w:t>
      </w:r>
      <w:proofErr w:type="spellEnd"/>
      <w:r w:rsidRPr="000D5BE5">
        <w:rPr>
          <w:b/>
          <w:sz w:val="28"/>
          <w:szCs w:val="28"/>
        </w:rPr>
        <w:t>)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bookmarkStart w:id="2" w:name="P4336"/>
      <w:bookmarkEnd w:id="2"/>
      <w:r w:rsidRPr="007921D8">
        <w:rPr>
          <w:color w:val="000000"/>
          <w:sz w:val="28"/>
          <w:szCs w:val="28"/>
        </w:rPr>
        <w:t xml:space="preserve">а) субъект малого и среднего предпринимательства обеспечивает занятость следующих категорий граждан при условии, что по итогам </w:t>
      </w:r>
      <w:r w:rsidRPr="007921D8">
        <w:rPr>
          <w:color w:val="000000"/>
          <w:sz w:val="28"/>
          <w:szCs w:val="28"/>
        </w:rPr>
        <w:lastRenderedPageBreak/>
        <w:t>предыдущего календарного года среднесписочная численность лиц, относящихся к любой из указанных категорий (нескольким или всем указанным категориям) среди работников субъекта малого и среднего предпринимательства составляет не менее 50%, а доля в фонде оплаты труда – не менее 25%: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инвалидов и (или) иных лиц с ограниченными возможностями здоровья, перечень категорий которых определяется Правительством Российской Федерации;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одиноких и (или) многодетных родителей, воспитывающих несовершеннолетних детей и (или) детей-инвалидов;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женщин, находящихся в отпуске по уходу за ребенком в возрасте до трех лет;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женщин, имеющих детей в возрасте до семи лет;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пенсионеров и граждан </w:t>
      </w:r>
      <w:proofErr w:type="spellStart"/>
      <w:r w:rsidRPr="007921D8">
        <w:rPr>
          <w:color w:val="000000"/>
          <w:sz w:val="28"/>
          <w:szCs w:val="28"/>
        </w:rPr>
        <w:t>предпенсионного</w:t>
      </w:r>
      <w:proofErr w:type="spellEnd"/>
      <w:r w:rsidRPr="007921D8">
        <w:rPr>
          <w:color w:val="000000"/>
          <w:sz w:val="28"/>
          <w:szCs w:val="28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выпускников детских домов в возрасте до 23 лет;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лиц, освобожденных из мест лишения свободы и имеющих неснятую или непогашенную судимости;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беженцев и вынужденных переселенцев;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малоимущих граждан;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лиц без определенного места жительства и занятий;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граждан, уволенных с военной службы (за исключением случаев, когда увольнение производится по основаниям, предусмотренным </w:t>
      </w:r>
      <w:hyperlink r:id="rId4" w:history="1">
        <w:r w:rsidRPr="007921D8">
          <w:rPr>
            <w:color w:val="000000"/>
            <w:sz w:val="28"/>
            <w:szCs w:val="28"/>
          </w:rPr>
          <w:t>подпунктами «д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5" w:history="1">
        <w:r w:rsidRPr="007921D8">
          <w:rPr>
            <w:color w:val="000000"/>
            <w:sz w:val="28"/>
            <w:szCs w:val="28"/>
          </w:rPr>
          <w:t>«д.1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6" w:history="1">
        <w:r w:rsidRPr="007921D8">
          <w:rPr>
            <w:color w:val="000000"/>
            <w:sz w:val="28"/>
            <w:szCs w:val="28"/>
          </w:rPr>
          <w:t>«д.2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7" w:history="1">
        <w:r w:rsidRPr="007921D8">
          <w:rPr>
            <w:color w:val="000000"/>
            <w:sz w:val="28"/>
            <w:szCs w:val="28"/>
          </w:rPr>
          <w:t>«е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8" w:history="1">
        <w:r w:rsidRPr="007921D8">
          <w:rPr>
            <w:color w:val="000000"/>
            <w:sz w:val="28"/>
            <w:szCs w:val="28"/>
          </w:rPr>
          <w:t>«е.1</w:t>
        </w:r>
      </w:hyperlink>
      <w:r w:rsidRPr="007921D8">
        <w:rPr>
          <w:color w:val="000000"/>
          <w:sz w:val="28"/>
          <w:szCs w:val="28"/>
        </w:rPr>
        <w:t xml:space="preserve">» и </w:t>
      </w:r>
      <w:hyperlink r:id="rId9" w:history="1">
        <w:r w:rsidRPr="007921D8">
          <w:rPr>
            <w:color w:val="000000"/>
            <w:sz w:val="28"/>
            <w:szCs w:val="28"/>
          </w:rPr>
          <w:t>«з» пункта 1</w:t>
        </w:r>
      </w:hyperlink>
      <w:r w:rsidRPr="007921D8">
        <w:rPr>
          <w:color w:val="000000"/>
          <w:sz w:val="28"/>
          <w:szCs w:val="28"/>
        </w:rPr>
        <w:t xml:space="preserve"> и </w:t>
      </w:r>
      <w:hyperlink r:id="rId10" w:history="1">
        <w:r w:rsidRPr="007921D8">
          <w:rPr>
            <w:color w:val="000000"/>
            <w:sz w:val="28"/>
            <w:szCs w:val="28"/>
          </w:rPr>
          <w:t>подпунктами «в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11" w:history="1">
        <w:r w:rsidRPr="007921D8">
          <w:rPr>
            <w:color w:val="000000"/>
            <w:sz w:val="28"/>
            <w:szCs w:val="28"/>
          </w:rPr>
          <w:t>«д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12" w:history="1">
        <w:r w:rsidRPr="007921D8">
          <w:rPr>
            <w:color w:val="000000"/>
            <w:sz w:val="28"/>
            <w:szCs w:val="28"/>
          </w:rPr>
          <w:t>«е.1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13" w:history="1">
        <w:r w:rsidRPr="007921D8">
          <w:rPr>
            <w:color w:val="000000"/>
            <w:sz w:val="28"/>
            <w:szCs w:val="28"/>
          </w:rPr>
          <w:t>«е.2</w:t>
        </w:r>
      </w:hyperlink>
      <w:r w:rsidRPr="007921D8">
        <w:rPr>
          <w:color w:val="000000"/>
          <w:sz w:val="28"/>
          <w:szCs w:val="28"/>
        </w:rPr>
        <w:t xml:space="preserve">», </w:t>
      </w:r>
      <w:hyperlink r:id="rId14" w:history="1">
        <w:r w:rsidRPr="007921D8">
          <w:rPr>
            <w:color w:val="000000"/>
            <w:sz w:val="28"/>
            <w:szCs w:val="28"/>
          </w:rPr>
          <w:t>«к</w:t>
        </w:r>
      </w:hyperlink>
      <w:r w:rsidRPr="007921D8">
        <w:rPr>
          <w:color w:val="000000"/>
          <w:sz w:val="28"/>
          <w:szCs w:val="28"/>
        </w:rPr>
        <w:t xml:space="preserve">» и </w:t>
      </w:r>
      <w:hyperlink r:id="rId15" w:history="1">
        <w:r w:rsidRPr="007921D8">
          <w:rPr>
            <w:color w:val="000000"/>
            <w:sz w:val="28"/>
            <w:szCs w:val="28"/>
          </w:rPr>
          <w:t>«л» пункта 2 статьи 51</w:t>
        </w:r>
      </w:hyperlink>
      <w:r w:rsidRPr="007921D8">
        <w:rPr>
          <w:color w:val="000000"/>
          <w:sz w:val="28"/>
          <w:szCs w:val="28"/>
        </w:rPr>
        <w:t xml:space="preserve"> Федерального закона</w:t>
      </w:r>
      <w:r w:rsidRPr="007921D8">
        <w:rPr>
          <w:color w:val="000000"/>
          <w:sz w:val="28"/>
          <w:szCs w:val="28"/>
        </w:rPr>
        <w:br/>
        <w:t>от 28 марта 1998 года № 53-ФЗ «О воинской обязанности и военной службе»;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граждан, подвергшихся воздействию радиации вследствие Чернобыльской и </w:t>
      </w:r>
      <w:proofErr w:type="gramStart"/>
      <w:r w:rsidRPr="007921D8">
        <w:rPr>
          <w:color w:val="000000"/>
          <w:sz w:val="28"/>
          <w:szCs w:val="28"/>
        </w:rPr>
        <w:t>других радиационных аварий</w:t>
      </w:r>
      <w:proofErr w:type="gramEnd"/>
      <w:r w:rsidRPr="007921D8">
        <w:rPr>
          <w:color w:val="000000"/>
          <w:sz w:val="28"/>
          <w:szCs w:val="28"/>
        </w:rPr>
        <w:t xml:space="preserve"> и катастроф;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граждан, признанных нуждающимися в социальном обслуживании;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б) субъект малого и среднего предпринимательства осуществляет деятельность, направленную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предоставление социальных услуг в соответствии с Федеральным </w:t>
      </w:r>
      <w:hyperlink r:id="rId16" w:history="1">
        <w:r w:rsidRPr="007921D8">
          <w:rPr>
            <w:color w:val="000000"/>
            <w:sz w:val="28"/>
            <w:szCs w:val="28"/>
          </w:rPr>
          <w:t>законом</w:t>
        </w:r>
      </w:hyperlink>
      <w:r w:rsidRPr="007921D8">
        <w:rPr>
          <w:color w:val="000000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содействие профессиональной ориентации, занятости и </w:t>
      </w:r>
      <w:proofErr w:type="spellStart"/>
      <w:r w:rsidRPr="007921D8">
        <w:rPr>
          <w:color w:val="000000"/>
          <w:sz w:val="28"/>
          <w:szCs w:val="28"/>
        </w:rPr>
        <w:t>самозанятости</w:t>
      </w:r>
      <w:proofErr w:type="spellEnd"/>
      <w:r w:rsidRPr="007921D8">
        <w:rPr>
          <w:color w:val="000000"/>
          <w:sz w:val="28"/>
          <w:szCs w:val="28"/>
        </w:rPr>
        <w:t xml:space="preserve"> лиц, указанных в </w:t>
      </w:r>
      <w:hyperlink w:anchor="P4336" w:history="1">
        <w:r w:rsidRPr="007921D8">
          <w:rPr>
            <w:color w:val="000000"/>
            <w:sz w:val="28"/>
            <w:szCs w:val="28"/>
          </w:rPr>
          <w:t>подпункте «а</w:t>
        </w:r>
      </w:hyperlink>
      <w:r w:rsidRPr="007921D8">
        <w:rPr>
          <w:color w:val="000000"/>
          <w:sz w:val="28"/>
          <w:szCs w:val="28"/>
        </w:rPr>
        <w:t>» настоящего пункта;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культурно-просветительская деятельность (деятельность музеев, </w:t>
      </w:r>
      <w:r w:rsidRPr="007921D8">
        <w:rPr>
          <w:color w:val="000000"/>
          <w:sz w:val="28"/>
          <w:szCs w:val="28"/>
        </w:rPr>
        <w:lastRenderedPageBreak/>
        <w:t>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предоставление образовательных услуг для детей в возрасте до 18 лет, а также для лиц, указанных в </w:t>
      </w:r>
      <w:hyperlink w:anchor="P4336" w:history="1">
        <w:r w:rsidRPr="007921D8">
          <w:rPr>
            <w:color w:val="000000"/>
            <w:sz w:val="28"/>
            <w:szCs w:val="28"/>
          </w:rPr>
          <w:t>подпункте «а</w:t>
        </w:r>
      </w:hyperlink>
      <w:r w:rsidRPr="007921D8">
        <w:rPr>
          <w:color w:val="000000"/>
          <w:sz w:val="28"/>
          <w:szCs w:val="28"/>
        </w:rPr>
        <w:t>» настоящего пункта;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выпуск периодических печатных изданий,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деятельность по организации отдыха и оздоровления детей в возрасте до 18 лет и пенсионеров;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организация социального туризма (в части организации экскурсионно-познавательных туров для лиц, указанных в </w:t>
      </w:r>
      <w:hyperlink w:anchor="P4336" w:history="1">
        <w:r w:rsidRPr="007921D8">
          <w:rPr>
            <w:color w:val="000000"/>
            <w:sz w:val="28"/>
            <w:szCs w:val="28"/>
          </w:rPr>
          <w:t>подпункте «а</w:t>
        </w:r>
      </w:hyperlink>
      <w:r w:rsidRPr="007921D8">
        <w:rPr>
          <w:color w:val="000000"/>
          <w:sz w:val="28"/>
          <w:szCs w:val="28"/>
        </w:rPr>
        <w:t>» настоящего пункта);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охрана окружающей среды.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4.6.3. Субсидии предоставляются на условиях долевого финансирования целевых расходов, </w:t>
      </w:r>
      <w:proofErr w:type="spellStart"/>
      <w:r w:rsidRPr="007921D8">
        <w:rPr>
          <w:color w:val="000000"/>
          <w:sz w:val="28"/>
          <w:szCs w:val="28"/>
        </w:rPr>
        <w:t>софинансирования</w:t>
      </w:r>
      <w:proofErr w:type="spellEnd"/>
      <w:r w:rsidRPr="007921D8">
        <w:rPr>
          <w:color w:val="000000"/>
          <w:sz w:val="28"/>
          <w:szCs w:val="28"/>
        </w:rPr>
        <w:t xml:space="preserve"> субъектом малого и среднего предпринимательства расходов на реализацию проекта в размере не менее </w:t>
      </w:r>
      <w:r w:rsidRPr="007921D8">
        <w:rPr>
          <w:b/>
          <w:color w:val="000000"/>
          <w:sz w:val="28"/>
          <w:szCs w:val="28"/>
        </w:rPr>
        <w:t>15%</w:t>
      </w:r>
      <w:r w:rsidRPr="007921D8">
        <w:rPr>
          <w:color w:val="000000"/>
          <w:sz w:val="28"/>
          <w:szCs w:val="28"/>
        </w:rPr>
        <w:t xml:space="preserve"> от размера получаемой субсидии.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21D8">
        <w:rPr>
          <w:sz w:val="28"/>
          <w:szCs w:val="28"/>
        </w:rPr>
        <w:t xml:space="preserve">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</w:t>
      </w:r>
      <w:r w:rsidRPr="007921D8">
        <w:rPr>
          <w:b/>
          <w:sz w:val="28"/>
          <w:szCs w:val="28"/>
        </w:rPr>
        <w:t>150</w:t>
      </w:r>
      <w:r w:rsidRPr="007921D8">
        <w:rPr>
          <w:sz w:val="28"/>
          <w:szCs w:val="28"/>
        </w:rPr>
        <w:t xml:space="preserve"> тыс. рублей при условии трудоустройства не менее одного человека и дополнительно не более </w:t>
      </w:r>
      <w:r w:rsidRPr="007921D8">
        <w:rPr>
          <w:b/>
          <w:sz w:val="28"/>
          <w:szCs w:val="28"/>
        </w:rPr>
        <w:t>50</w:t>
      </w:r>
      <w:r w:rsidRPr="007921D8">
        <w:rPr>
          <w:sz w:val="28"/>
          <w:szCs w:val="28"/>
        </w:rPr>
        <w:t xml:space="preserve"> тыс. рублей за каждого последующего нанятого работника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Максимальный размер субсидии, предоставляемой одному субъекту социального предпринимательства, составляет </w:t>
      </w:r>
      <w:r w:rsidRPr="007921D8">
        <w:rPr>
          <w:b/>
          <w:color w:val="000000"/>
          <w:sz w:val="28"/>
          <w:szCs w:val="28"/>
        </w:rPr>
        <w:t>300</w:t>
      </w:r>
      <w:r w:rsidRPr="007921D8">
        <w:rPr>
          <w:color w:val="000000"/>
          <w:sz w:val="28"/>
          <w:szCs w:val="28"/>
        </w:rPr>
        <w:t xml:space="preserve"> тыс. рублей.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4.6.4. Предметом субсидирования могут быть любые обоснованные субъектом малого или среднего предпринимательства затраты, направленные на реализацию проекта создания (развития) социального предпринимательства, предусмотренные бизнес-планом проекта, за исключением: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оплаты труда;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уплаты налоговых платежей и платежей в государственные внебюджетные фонды;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погашения кредиторской задолженности, возникшей до момента подачи документов;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приобретения легковых автомобилей и воздушных судов;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- приобретения жилых помещений;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 xml:space="preserve">- 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</w:t>
      </w:r>
      <w:r w:rsidRPr="007921D8">
        <w:rPr>
          <w:color w:val="000000"/>
          <w:sz w:val="28"/>
          <w:szCs w:val="28"/>
        </w:rPr>
        <w:lastRenderedPageBreak/>
        <w:t xml:space="preserve">помещений на срок более одного года. 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Предметом субсидирования могут быть договоры аренды помещения, заключенные на срок более одного года.</w:t>
      </w:r>
    </w:p>
    <w:p w:rsidR="007921D8" w:rsidRPr="007921D8" w:rsidRDefault="007921D8" w:rsidP="007921D8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921D8">
        <w:rPr>
          <w:color w:val="000000"/>
          <w:sz w:val="28"/>
          <w:szCs w:val="28"/>
        </w:rPr>
        <w:t>Затраты по арендной плате за пользование нежилыми помещениями не должны составлять более 1/3 от общего объема запрашиваемых бюджетных средств.</w:t>
      </w:r>
    </w:p>
    <w:p w:rsidR="007921D8" w:rsidRPr="000D5BE5" w:rsidRDefault="007921D8" w:rsidP="003B484E">
      <w:pPr>
        <w:rPr>
          <w:sz w:val="28"/>
          <w:szCs w:val="28"/>
        </w:rPr>
      </w:pPr>
    </w:p>
    <w:p w:rsidR="005D13FA" w:rsidRDefault="005D13FA"/>
    <w:sectPr w:rsidR="005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6C"/>
    <w:rsid w:val="00136D4D"/>
    <w:rsid w:val="003B484E"/>
    <w:rsid w:val="005D13FA"/>
    <w:rsid w:val="007921D8"/>
    <w:rsid w:val="00F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B51"/>
  <w15:chartTrackingRefBased/>
  <w15:docId w15:val="{D8DA2683-AA04-4AE7-A74A-C437F9B1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A6F2E896870DBA086F6578414017C839902E2240B16C2939838E9A1924CEFCC3FC0BD5CF7B0339A2CFE48DE03906DBE36597A3U7c6N" TargetMode="External"/><Relationship Id="rId13" Type="http://schemas.openxmlformats.org/officeDocument/2006/relationships/hyperlink" Target="consultantplus://offline/ref=90B8A6F2E896870DBA086F6578414017C839902E2240B16C2939838E9A1924CEFCC3FC0ADBC97B0339A2CFE48DE03906DBE36597A3U7c6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B8A6F2E896870DBA086F6578414017C839902E2240B16C2939838E9A1924CEFCC3FC08DDCE75516DEDCEB8CBB72A04DCE36792BF74EB79UCc7N" TargetMode="External"/><Relationship Id="rId12" Type="http://schemas.openxmlformats.org/officeDocument/2006/relationships/hyperlink" Target="consultantplus://offline/ref=90B8A6F2E896870DBA086F6578414017C839902E2240B16C2939838E9A1924CEFCC3FC0AD8CE7B0339A2CFE48DE03906DBE36597A3U7c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B8A6F2E896870DBA086F6578414017C83F9D2C2946B16C2939838E9A1924CEEEC3A404DFCC6E576DF898E98DUE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8A6F2E896870DBA086F6578414017C839902E2240B16C2939838E9A1924CEFCC3FC0AD9C77B0339A2CFE48DE03906DBE36597A3U7c6N" TargetMode="External"/><Relationship Id="rId11" Type="http://schemas.openxmlformats.org/officeDocument/2006/relationships/hyperlink" Target="consultantplus://offline/ref=90B8A6F2E896870DBA086F6578414017C839902E2240B16C2939838E9A1924CEFCC3FC0BD5CC7B0339A2CFE48DE03906DBE36597A3U7c6N" TargetMode="External"/><Relationship Id="rId5" Type="http://schemas.openxmlformats.org/officeDocument/2006/relationships/hyperlink" Target="consultantplus://offline/ref=90B8A6F2E896870DBA086F6578414017C839902E2240B16C2939838E9A1924CEFCC3FC0AD9CD7B0339A2CFE48DE03906DBE36597A3U7c6N" TargetMode="External"/><Relationship Id="rId15" Type="http://schemas.openxmlformats.org/officeDocument/2006/relationships/hyperlink" Target="consultantplus://offline/ref=90B8A6F2E896870DBA086F6578414017C839902E2240B16C2939838E9A1924CEFCC3FC0CDACA7B0339A2CFE48DE03906DBE36597A3U7c6N" TargetMode="External"/><Relationship Id="rId10" Type="http://schemas.openxmlformats.org/officeDocument/2006/relationships/hyperlink" Target="consultantplus://offline/ref=90B8A6F2E896870DBA086F6578414017C839902E2240B16C2939838E9A1924CEFCC3FC08DEC524062CB397EB8DFC2703C0FF6795UAc1N" TargetMode="External"/><Relationship Id="rId4" Type="http://schemas.openxmlformats.org/officeDocument/2006/relationships/hyperlink" Target="consultantplus://offline/ref=90B8A6F2E896870DBA086F6578414017C839902E2240B16C2939838E9A1924CEFCC3FC08DDCE75516CEDCEB8CBB72A04DCE36792BF74EB79UCc7N" TargetMode="External"/><Relationship Id="rId9" Type="http://schemas.openxmlformats.org/officeDocument/2006/relationships/hyperlink" Target="consultantplus://offline/ref=90B8A6F2E896870DBA086F6578414017C839902E2240B16C2939838E9A1924CEFCC3FC08DDCE75516FEDCEB8CBB72A04DCE36792BF74EB79UCc7N" TargetMode="External"/><Relationship Id="rId14" Type="http://schemas.openxmlformats.org/officeDocument/2006/relationships/hyperlink" Target="consultantplus://offline/ref=90B8A6F2E896870DBA086F6578414017C839902E2240B16C2939838E9A1924CEFCC3FC0CDACD7B0339A2CFE48DE03906DBE36597A3U7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2020-09-08T13:49:00Z</dcterms:created>
  <dcterms:modified xsi:type="dcterms:W3CDTF">2020-09-08T14:02:00Z</dcterms:modified>
</cp:coreProperties>
</file>